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7989" w14:textId="63F7A5D5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  <w:r w:rsidRPr="009942DE">
        <w:rPr>
          <w:rFonts w:ascii="Source Sans Pro" w:hAnsi="Source Sans Pr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EA1B8D8" wp14:editId="0D3CEF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61662" cy="1844796"/>
            <wp:effectExtent l="0" t="0" r="0" b="0"/>
            <wp:wrapNone/>
            <wp:docPr id="1167586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86071" name="Picture 11675860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423" cy="1862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457F4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6EE5CF06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2CDF12BB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5EBB8595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3FB013BC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3CBB8288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02CFD009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73BC6AB5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0FFD83B5" w14:textId="061C854C" w:rsidR="00063D53" w:rsidRPr="009942DE" w:rsidRDefault="00063D53" w:rsidP="00063D53">
      <w:pPr>
        <w:pStyle w:val="Title"/>
        <w:rPr>
          <w:rFonts w:ascii="Source Sans Pro" w:hAnsi="Source Sans Pro"/>
          <w:b/>
          <w:bCs/>
          <w:color w:val="000F9F"/>
          <w:sz w:val="72"/>
          <w:szCs w:val="72"/>
        </w:rPr>
      </w:pPr>
      <w:r w:rsidRPr="009942DE">
        <w:rPr>
          <w:rFonts w:ascii="Source Sans Pro" w:hAnsi="Source Sans Pro"/>
          <w:b/>
          <w:bCs/>
          <w:color w:val="000F9F"/>
          <w:sz w:val="72"/>
          <w:szCs w:val="72"/>
        </w:rPr>
        <w:t>Selected References</w:t>
      </w:r>
    </w:p>
    <w:p w14:paraId="79656A38" w14:textId="77777777" w:rsidR="00063D53" w:rsidRPr="009942DE" w:rsidRDefault="00063D53" w:rsidP="00063D53">
      <w:pPr>
        <w:spacing w:after="0" w:line="276" w:lineRule="auto"/>
        <w:rPr>
          <w:rFonts w:ascii="Source Sans Pro" w:hAnsi="Source Sans Pro"/>
        </w:rPr>
      </w:pPr>
    </w:p>
    <w:p w14:paraId="4C3B812D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Blackwatters, et al. (2023). “Hey Buddy, give me your guns”: Sheriffs’ officers’ strategies to ensure compliance with domestic violence protective order firearm restrictions. Journal of Family Violence, 38(3), 557–569. </w:t>
      </w:r>
      <w:hyperlink r:id="rId8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https://doi.org/10.1007/s10896-022-00411-8</w:t>
        </w:r>
      </w:hyperlink>
    </w:p>
    <w:p w14:paraId="21D77171" w14:textId="77777777" w:rsidR="00063D53" w:rsidRPr="009942DE" w:rsidRDefault="00063D53" w:rsidP="009942DE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color w:val="212121"/>
          <w:sz w:val="22"/>
          <w:szCs w:val="22"/>
          <w:lang w:val="en"/>
        </w:rPr>
        <w:t>Campbell, et al. (2003). Risk factors for femicide in abusive relationships: Results from a multisite case control study. American Journal of Public Health, 93(7), 1089–1097.</w:t>
      </w:r>
      <w:r w:rsidRPr="009942DE">
        <w:rPr>
          <w:rFonts w:ascii="Source Sans Pro" w:hAnsi="Source Sans Pro"/>
          <w:sz w:val="22"/>
          <w:szCs w:val="22"/>
          <w:lang w:val="en"/>
        </w:rPr>
        <w:t xml:space="preserve"> </w:t>
      </w:r>
      <w:hyperlink r:id="rId9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https://pubmed.ncbi.nlm.nih.gov/</w:t>
        </w:r>
      </w:hyperlink>
      <w:hyperlink r:id="rId10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12835191</w:t>
        </w:r>
      </w:hyperlink>
      <w:hyperlink r:id="rId11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/</w:t>
        </w:r>
      </w:hyperlink>
    </w:p>
    <w:p w14:paraId="6127CA93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Cloud, et al. (2023). Disarming intimate partner violence offenders: An in-depth descriptive analysis of federal and state firearm prohibitor laws in the United States, 1991–2016. Journal of Interpersonal Violence, 38(5–6), 5164–5189. </w:t>
      </w:r>
      <w:hyperlink r:id="rId12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https://doi.org/10.1177/08862605221120891</w:t>
        </w:r>
      </w:hyperlink>
    </w:p>
    <w:p w14:paraId="4E935107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Ellyson, et al. (2023). Firearm restrictions in domestic violence protection orders: Implementation, vetting, compliance, and enforcement. Criminology &amp; Public Policy. </w:t>
      </w:r>
      <w:hyperlink r:id="rId13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https://doi.org/10.1111/1745-9133.12639</w:t>
        </w:r>
      </w:hyperlink>
    </w:p>
    <w:p w14:paraId="04985B67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Fowler, et al. (2017). Childhood firearm injuries in the United States. Pediatrics, 140(1), e20163486. </w:t>
      </w:r>
      <w:hyperlink r:id="rId14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https://publications.aap.org/pediatrics/article-abstract/140/1/e20163486/38006/Childhood-Firearm-Injuries-in-the-United-States</w:t>
        </w:r>
      </w:hyperlink>
    </w:p>
    <w:p w14:paraId="63F73A6F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Frattaroli, et al. (2021). Armed, prohibited and violent at home: Implementation and enforcement of restrictions on gun possession by domestic violence offenders in four U.S. localities. Journal of Family Violence, 36(5), 573–586. </w:t>
      </w:r>
      <w:hyperlink r:id="rId15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https://doi.org/10.1007/s10896-020-00241-6</w:t>
        </w:r>
      </w:hyperlink>
    </w:p>
    <w:p w14:paraId="1E89A11F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Geller, et al. (2021). The role of domestic violence in fatal mass shootings in the United States, 2014–2019. Injury Epidemiology, 8(1), Article 38. </w:t>
      </w:r>
      <w:hyperlink r:id="rId16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https://link.springer.com/article/10.1186/s40621-021-00330-0</w:t>
        </w:r>
      </w:hyperlink>
    </w:p>
    <w:p w14:paraId="20F6F236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Goralski. (2013). Domestic violence: Firearm seizures &amp; lethality assessments: Enhancing the police response. The Police Journal, 86(3), 235–248. </w:t>
      </w:r>
      <w:hyperlink r:id="rId17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https://doiorg.proxy.libraries.rutgers.edu/10.1350/pojo.2013.86.3.613</w:t>
        </w:r>
      </w:hyperlink>
    </w:p>
    <w:p w14:paraId="3CB6D430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Kafka, et al. (2022). Disarming abusers: Domestic violence protective order (DVPO) firearm restriction processes and dispositions. Criminology &amp; Public Policy, 21(2), 379–404. </w:t>
      </w:r>
      <w:hyperlink r:id="rId18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https://doi.org/10.1111/1745-9133.12581</w:t>
        </w:r>
      </w:hyperlink>
    </w:p>
    <w:p w14:paraId="4CF715B8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lastRenderedPageBreak/>
        <w:t xml:space="preserve">Lockwood, et al. (2023). Policy recommendations to address the nexus of domestic violence and gun violence. North Carolina Medical Journal, 84(4), 233–237. </w:t>
      </w:r>
      <w:hyperlink r:id="rId19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https://doi.org/10.18043/001c.81269</w:t>
        </w:r>
      </w:hyperlink>
    </w:p>
    <w:p w14:paraId="3E091D58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Logan, et al. (2022). Should we be paying more attention to firearm threats in ex-partner stalking cases? Behavioral Sciences &amp; the Law, 40(5), 619–639. </w:t>
      </w:r>
      <w:hyperlink r:id="rId20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https://doi.org/10.1002/bsl.2589</w:t>
        </w:r>
      </w:hyperlink>
    </w:p>
    <w:p w14:paraId="7EB78937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Lynch, et al. (2021). Examining the role of safety planning and firearms in community professional’s advice and perceived helpfulness for female IPV victims. Journal of Family Violence, 36, 163–173. </w:t>
      </w:r>
      <w:hyperlink r:id="rId21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https://doi.org/10.1007/s10896-019-00119-2</w:t>
        </w:r>
      </w:hyperlink>
    </w:p>
    <w:p w14:paraId="6217F16C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Lynch, et al. (2022). Firearm-related abuse and protective order requests among intimate partner violence victims. Journal of Interpersonal Violence, 37(15–16). </w:t>
      </w:r>
      <w:hyperlink r:id="rId22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https://doi.org/10.1177/08862605211001474</w:t>
        </w:r>
      </w:hyperlink>
    </w:p>
    <w:p w14:paraId="4B95B265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Lynch, et al. (2025). It takes a village: Addressing community needs to implement firearm prohibitions for domestic violence protective order respondents. Journal of Interpersonal Violence. Advance online publication. </w:t>
      </w:r>
      <w:hyperlink r:id="rId23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https://doi.org/10.1177/08862605251363616</w:t>
        </w:r>
      </w:hyperlink>
    </w:p>
    <w:p w14:paraId="48E9B7B0" w14:textId="407CEA44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National Law Enforcement Officers Memorial Fund. (2024). 2023 </w:t>
      </w:r>
      <w:r w:rsidR="009942DE" w:rsidRPr="009942DE">
        <w:rPr>
          <w:rFonts w:ascii="Source Sans Pro" w:hAnsi="Source Sans Pro"/>
          <w:sz w:val="22"/>
          <w:szCs w:val="22"/>
          <w:lang w:val="en"/>
        </w:rPr>
        <w:t>E</w:t>
      </w:r>
      <w:r w:rsidRPr="009942DE">
        <w:rPr>
          <w:rFonts w:ascii="Source Sans Pro" w:hAnsi="Source Sans Pro"/>
          <w:sz w:val="22"/>
          <w:szCs w:val="22"/>
          <w:lang w:val="en"/>
        </w:rPr>
        <w:t xml:space="preserve">nd-of-year preliminary law enforcement fatalities report. </w:t>
      </w:r>
      <w:hyperlink r:id="rId24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https://nleomf.org/wp-content/uploads/2024/01/2023-EOY-Fatality-Report-FINAL.pdf</w:t>
        </w:r>
      </w:hyperlink>
    </w:p>
    <w:p w14:paraId="4938C376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Oliphant and Zeoli. (2024). State efforts to enforce firearm dispossession through relinquishment laws. Criminology &amp; Public Policy, 23(4), 893–918</w:t>
      </w:r>
      <w:r w:rsidRPr="009942DE">
        <w:rPr>
          <w:rFonts w:ascii="Source Sans Pro" w:hAnsi="Source Sans Pro"/>
          <w:color w:val="0000FF"/>
          <w:sz w:val="22"/>
          <w:szCs w:val="22"/>
          <w:u w:val="single"/>
          <w:lang w:val="en"/>
        </w:rPr>
        <w:t xml:space="preserve">. </w:t>
      </w:r>
      <w:hyperlink r:id="rId25">
        <w:r w:rsidRPr="009942DE">
          <w:rPr>
            <w:rStyle w:val="Hyperlink"/>
            <w:rFonts w:ascii="Source Sans Pro" w:hAnsi="Source Sans Pro"/>
            <w:sz w:val="22"/>
            <w:szCs w:val="22"/>
            <w:lang w:val="en"/>
          </w:rPr>
          <w:t>https://doi.org/10.1111/1745-9133.12677</w:t>
        </w:r>
      </w:hyperlink>
    </w:p>
    <w:p w14:paraId="21AF6E9E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 xml:space="preserve">Pear, et al. (2021). Armed and prohibited: Characteristics of unlawful owners of legally purchased firearms. Injury Prevention, 27(2), 145–149. </w:t>
      </w:r>
      <w:hyperlink r:id="rId26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https://doi.org/10.1136/injuryprev-2019-043479</w:t>
        </w:r>
      </w:hyperlink>
    </w:p>
    <w:p w14:paraId="62337AB0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Saltzman, et al. (1992). Weapon involvement and injury outcomes in family and intimate assaults. JAMA, 267(22), 3043–3047. </w:t>
      </w:r>
      <w:hyperlink r:id="rId27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https://jamanetwork.com/journals/jama/article-abstract/397728</w:t>
        </w:r>
      </w:hyperlink>
    </w:p>
    <w:p w14:paraId="6BF6A33A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Sorenson and Schut. (2018). Nonfatal gun use in intimate partner violence: A systematic review of the literature. Trauma, Violence, &amp; Abuse, 19(4), 431–442. </w:t>
      </w:r>
      <w:hyperlink r:id="rId28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https://journals.sagepub.com/doi/abs/10.1177/1524838016668589</w:t>
        </w:r>
      </w:hyperlink>
    </w:p>
    <w:p w14:paraId="6FE0DA7C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Spencer and Stith. (2018). Risk factors for male perpetration and female victimization for intimate partner homicide: A meta-analysis. Trauma, Violence, &amp; Abuse, 21(3), 527–540. </w:t>
      </w:r>
      <w:hyperlink r:id="rId29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https://journals.sagepub.com/doi/abs/10.1177/1524838018781101</w:t>
        </w:r>
      </w:hyperlink>
    </w:p>
    <w:p w14:paraId="202AAEFA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0000FF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Wallin, et al. (2022). The association of federal and state-level firearm restriction policies with intimate partner homicide: A re-analysis by race of the victim. Journal of Interpersonal Violence, 37(17–18). </w:t>
      </w:r>
      <w:hyperlink r:id="rId30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  <w:lang w:val="en"/>
          </w:rPr>
          <w:t>https://doi.org/10.1177/08862605211021988</w:t>
        </w:r>
      </w:hyperlink>
    </w:p>
    <w:p w14:paraId="20875DE7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b/>
          <w:bCs/>
          <w:sz w:val="22"/>
          <w:szCs w:val="22"/>
        </w:rPr>
      </w:pPr>
      <w:r w:rsidRPr="009942DE">
        <w:rPr>
          <w:rFonts w:ascii="Source Sans Pro" w:hAnsi="Source Sans Pro"/>
          <w:sz w:val="22"/>
          <w:szCs w:val="22"/>
        </w:rPr>
        <w:t xml:space="preserve">Zeoli, et al. (2019). Removing firearms from those prohibited from possession by domestic violence restraining orders: A survey and analysis of state laws. Trauma, Violence, &amp; Abuse, 20(1), 114–125. </w:t>
      </w:r>
      <w:hyperlink r:id="rId31">
        <w:r w:rsidRPr="009942DE">
          <w:rPr>
            <w:rStyle w:val="Hyperlink"/>
            <w:rFonts w:ascii="Source Sans Pro" w:hAnsi="Source Sans Pro"/>
            <w:color w:val="0000FF"/>
            <w:sz w:val="22"/>
            <w:szCs w:val="22"/>
          </w:rPr>
          <w:t>https://doi.org.proxy.libraries.rutgers.edu/10.1177/1524838017692384</w:t>
        </w:r>
      </w:hyperlink>
      <w:r w:rsidRPr="009942DE">
        <w:rPr>
          <w:rFonts w:ascii="Source Sans Pro" w:hAnsi="Source Sans Pro"/>
        </w:rPr>
        <w:br/>
      </w:r>
      <w:r w:rsidRPr="009942DE">
        <w:rPr>
          <w:rFonts w:ascii="Source Sans Pro" w:hAnsi="Source Sans Pro"/>
        </w:rPr>
        <w:br/>
      </w:r>
      <w:r w:rsidRPr="009942DE">
        <w:rPr>
          <w:rFonts w:ascii="Source Sans Pro" w:hAnsi="Source Sans Pro"/>
          <w:b/>
          <w:bCs/>
          <w:sz w:val="22"/>
          <w:szCs w:val="22"/>
        </w:rPr>
        <w:t>Webinars and technical assistance resources</w:t>
      </w:r>
    </w:p>
    <w:p w14:paraId="042A196C" w14:textId="77777777" w:rsidR="00063D53" w:rsidRPr="009942DE" w:rsidRDefault="00063D53" w:rsidP="009942DE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</w:rPr>
      </w:pPr>
      <w:r w:rsidRPr="009942DE">
        <w:rPr>
          <w:rFonts w:ascii="Source Sans Pro" w:hAnsi="Source Sans Pro"/>
          <w:sz w:val="22"/>
          <w:szCs w:val="22"/>
        </w:rPr>
        <w:t>A webinar: Probation and Parole Strategies to Disarm Domestic Violence Offenders</w:t>
      </w:r>
      <w:r w:rsidRPr="009942DE">
        <w:rPr>
          <w:rFonts w:ascii="Source Sans Pro" w:hAnsi="Source Sans Pro"/>
        </w:rPr>
        <w:br/>
      </w:r>
      <w:hyperlink r:id="rId32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</w:rPr>
          <w:t>https://nrcdvf.org/resources/webinar-probation-parole-strategies-to-disarm-domestic-violence-offenders/</w:t>
        </w:r>
      </w:hyperlink>
    </w:p>
    <w:p w14:paraId="5E1E080B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lastRenderedPageBreak/>
        <w:t>Brief History and Framework of Federal Firearms Laws Addressing DV</w:t>
      </w:r>
      <w:r w:rsidRPr="009942DE">
        <w:rPr>
          <w:rFonts w:ascii="Source Sans Pro" w:hAnsi="Source Sans Pro"/>
        </w:rPr>
        <w:br/>
      </w:r>
      <w:hyperlink r:id="rId33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https://nrcdvf.org/resources/a-brief-history-and-framework-of-federal-firearms-laws-addressing-intimate-partner-violence/</w:t>
        </w:r>
      </w:hyperlink>
    </w:p>
    <w:p w14:paraId="41277699" w14:textId="77777777" w:rsidR="00063D53" w:rsidRPr="009942DE" w:rsidRDefault="00063D53" w:rsidP="009942D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How to Structure Firearms Relinquishment Protocols in DV Cases</w:t>
      </w:r>
      <w:r w:rsidRPr="009942DE">
        <w:rPr>
          <w:rFonts w:ascii="Source Sans Pro" w:hAnsi="Source Sans Pro"/>
        </w:rPr>
        <w:br/>
      </w:r>
      <w:hyperlink r:id="rId34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https://nrcdvf.org/resources/firearms-relinquishment-in-cases-involving-intimate-partner-violence-how-to-structure-effective-protocols-for-your-community/</w:t>
        </w:r>
      </w:hyperlink>
    </w:p>
    <w:p w14:paraId="21FD94F0" w14:textId="77777777" w:rsidR="00063D53" w:rsidRPr="009942DE" w:rsidRDefault="00063D53" w:rsidP="009942DE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How Structure Firearms Relinquishment Protocols in Indian Country</w:t>
      </w:r>
      <w:r w:rsidRPr="009942DE">
        <w:rPr>
          <w:rFonts w:ascii="Source Sans Pro" w:hAnsi="Source Sans Pro"/>
        </w:rPr>
        <w:br/>
      </w:r>
      <w:hyperlink r:id="rId35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https://nrcdvf.org/resources/how-to-structure-effective-firearm-relinquishment-protocols-in-indian-country/</w:t>
        </w:r>
      </w:hyperlink>
    </w:p>
    <w:p w14:paraId="18478E5C" w14:textId="77777777" w:rsidR="00063D53" w:rsidRPr="009942DE" w:rsidRDefault="00063D53" w:rsidP="009942DE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Storage Options and Considerations for Relinquished Firearms</w:t>
      </w:r>
      <w:r w:rsidRPr="009942DE">
        <w:rPr>
          <w:rFonts w:ascii="Source Sans Pro" w:hAnsi="Source Sans Pro"/>
        </w:rPr>
        <w:br/>
      </w:r>
      <w:hyperlink r:id="rId36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https://nrcdvf.org/resources/storage-options-and-considerations-for-relinquished-firearms/</w:t>
        </w:r>
      </w:hyperlink>
    </w:p>
    <w:p w14:paraId="3BCCEA1A" w14:textId="77777777" w:rsidR="00063D53" w:rsidRPr="009942DE" w:rsidRDefault="00063D53" w:rsidP="009942D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ource Sans Pro" w:hAnsi="Source Sans Pro"/>
          <w:color w:val="1155CC"/>
          <w:sz w:val="22"/>
          <w:szCs w:val="22"/>
          <w:u w:val="single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Court Summary Information Forms/Cover Sheets for Domestic Violence Protection Orders</w:t>
      </w:r>
      <w:r w:rsidRPr="009942DE">
        <w:rPr>
          <w:rFonts w:ascii="Source Sans Pro" w:hAnsi="Source Sans Pro"/>
        </w:rPr>
        <w:br/>
      </w:r>
      <w:hyperlink r:id="rId37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https://nrcdvf.org/resources/court-practice-in-domestic-violence-protection-order-cases-creating-court-summary-information-forms/</w:t>
        </w:r>
      </w:hyperlink>
    </w:p>
    <w:p w14:paraId="2948DFFA" w14:textId="77777777" w:rsidR="009942DE" w:rsidRPr="009942DE" w:rsidRDefault="00063D53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Building a Community Coordinated Response to the Criminalization of Survivors: A Toolkit</w:t>
      </w:r>
      <w:r w:rsidRPr="009942DE">
        <w:rPr>
          <w:rFonts w:ascii="Source Sans Pro" w:hAnsi="Source Sans Pro"/>
        </w:rPr>
        <w:br/>
      </w:r>
      <w:hyperlink r:id="rId38">
        <w:r w:rsidRPr="009942DE">
          <w:rPr>
            <w:rStyle w:val="Hyperlink"/>
            <w:rFonts w:ascii="Source Sans Pro" w:hAnsi="Source Sans Pro"/>
            <w:color w:val="1155CC"/>
            <w:sz w:val="22"/>
            <w:szCs w:val="22"/>
            <w:lang w:val="en"/>
          </w:rPr>
          <w:t>https://bwjp.org/site-resources/building-a-community-coordinated-response-to-the-criminalization-of-survivors-a-toolkit/?section_slug=criminalized-survivors</w:t>
        </w:r>
      </w:hyperlink>
    </w:p>
    <w:p w14:paraId="7A122A84" w14:textId="35C571AB" w:rsidR="009942DE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Firearms and Domestic Violence Bench Resource for Judges </w:t>
      </w:r>
      <w:hyperlink r:id="rId39" w:history="1">
        <w:r w:rsidRPr="009942DE">
          <w:rPr>
            <w:rStyle w:val="Hyperlink"/>
            <w:rFonts w:ascii="Source Sans Pro" w:hAnsi="Source Sans Pro"/>
            <w:sz w:val="22"/>
            <w:szCs w:val="22"/>
            <w:lang w:val="en"/>
          </w:rPr>
          <w:t>https://lms.thelearningcommunitytoendviolence.org/resources/firearms-and-domestic-violence-bench-resource-judges</w:t>
        </w:r>
      </w:hyperlink>
    </w:p>
    <w:p w14:paraId="28E8F441" w14:textId="196612AA" w:rsidR="009942DE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Guide to Judicial Notification </w:t>
      </w:r>
      <w:hyperlink r:id="rId40" w:history="1">
        <w:r w:rsidRPr="009942DE">
          <w:rPr>
            <w:rStyle w:val="Hyperlink"/>
            <w:rFonts w:ascii="Source Sans Pro" w:hAnsi="Source Sans Pro"/>
            <w:sz w:val="22"/>
            <w:szCs w:val="22"/>
            <w:lang w:val="en"/>
          </w:rPr>
          <w:t>https://lms.thelearningcommunitytoendviolence.org/media/376/download</w:t>
        </w:r>
      </w:hyperlink>
    </w:p>
    <w:p w14:paraId="6B9914A0" w14:textId="21915005" w:rsidR="009942DE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U.S. v. Rahimi: Understanding the Implications for Protection Orders and Firearms Prohibitions</w:t>
      </w:r>
      <w:r w:rsidRPr="009942DE">
        <w:rPr>
          <w:rFonts w:ascii="Source Sans Pro" w:hAnsi="Source Sans Pro"/>
          <w:sz w:val="22"/>
          <w:szCs w:val="22"/>
          <w:lang w:val="en"/>
        </w:rPr>
        <w:t xml:space="preserve"> </w:t>
      </w:r>
      <w:hyperlink r:id="rId41" w:history="1">
        <w:r w:rsidRPr="009942DE">
          <w:rPr>
            <w:rStyle w:val="Hyperlink"/>
            <w:rFonts w:ascii="Source Sans Pro" w:hAnsi="Source Sans Pro"/>
            <w:sz w:val="22"/>
            <w:szCs w:val="22"/>
            <w:lang w:val="en"/>
          </w:rPr>
          <w:t>https://lms.thelearningcommunitytoendviolence.org/media/310/download</w:t>
        </w:r>
      </w:hyperlink>
    </w:p>
    <w:p w14:paraId="4C4E2476" w14:textId="77777777" w:rsidR="009942DE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>S.A.F.E. Tool</w:t>
      </w:r>
    </w:p>
    <w:p w14:paraId="5E56CA4B" w14:textId="66E7239D" w:rsidR="009942DE" w:rsidRPr="009942DE" w:rsidRDefault="009942DE" w:rsidP="009942DE">
      <w:pPr>
        <w:pStyle w:val="ListParagraph"/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  <w:sz w:val="22"/>
          <w:szCs w:val="22"/>
          <w:lang w:val="en"/>
        </w:rPr>
        <w:t xml:space="preserve"> </w:t>
      </w:r>
      <w:hyperlink r:id="rId42" w:history="1">
        <w:r w:rsidRPr="009942DE">
          <w:rPr>
            <w:rStyle w:val="Hyperlink"/>
            <w:rFonts w:ascii="Source Sans Pro" w:hAnsi="Source Sans Pro"/>
            <w:sz w:val="22"/>
            <w:szCs w:val="22"/>
            <w:lang w:val="en"/>
          </w:rPr>
          <w:t>https://lms.thelearningcommunitytoendviolence.org/media/514/download</w:t>
        </w:r>
      </w:hyperlink>
      <w:r w:rsidRPr="009942DE">
        <w:rPr>
          <w:rFonts w:ascii="Source Sans Pro" w:hAnsi="Source Sans Pro"/>
          <w:sz w:val="22"/>
          <w:szCs w:val="22"/>
          <w:lang w:val="en"/>
        </w:rPr>
        <w:t xml:space="preserve"> </w:t>
      </w:r>
    </w:p>
    <w:p w14:paraId="7D4945D2" w14:textId="77777777" w:rsidR="009942DE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</w:rPr>
        <w:t xml:space="preserve">Creating Firearm Safety Brochures for Survivors: What Community Programs Should Consider </w:t>
      </w:r>
    </w:p>
    <w:p w14:paraId="1ED1FB6E" w14:textId="7CD50BE8" w:rsidR="009942DE" w:rsidRPr="009942DE" w:rsidRDefault="009942DE" w:rsidP="009942DE">
      <w:pPr>
        <w:pStyle w:val="ListParagraph"/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hyperlink r:id="rId43" w:history="1">
        <w:r w:rsidRPr="009942DE">
          <w:rPr>
            <w:rStyle w:val="Hyperlink"/>
            <w:rFonts w:ascii="Source Sans Pro" w:hAnsi="Source Sans Pro"/>
          </w:rPr>
          <w:t>https://lms.thelearningcommunitytoendviolence.org/media/378/download</w:t>
        </w:r>
      </w:hyperlink>
    </w:p>
    <w:p w14:paraId="3F3DBAB1" w14:textId="7DCC8002" w:rsidR="00063D53" w:rsidRPr="009942DE" w:rsidRDefault="009942DE" w:rsidP="009942D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ource Sans Pro" w:hAnsi="Source Sans Pro"/>
          <w:sz w:val="22"/>
          <w:szCs w:val="22"/>
          <w:lang w:val="en"/>
        </w:rPr>
      </w:pPr>
      <w:r w:rsidRPr="009942DE">
        <w:rPr>
          <w:rFonts w:ascii="Source Sans Pro" w:hAnsi="Source Sans Pro"/>
        </w:rPr>
        <w:t xml:space="preserve">ERPO Toolkit </w:t>
      </w:r>
      <w:hyperlink r:id="rId44" w:history="1">
        <w:r w:rsidRPr="009942DE">
          <w:rPr>
            <w:rStyle w:val="Hyperlink"/>
            <w:rFonts w:ascii="Source Sans Pro" w:hAnsi="Source Sans Pro"/>
          </w:rPr>
          <w:t>https://lms.thelearningcommunitytoendviolence.org/resources/extreme-risk-protection-orders-toolkit</w:t>
        </w:r>
      </w:hyperlink>
      <w:r w:rsidRPr="009942DE">
        <w:rPr>
          <w:rFonts w:ascii="Source Sans Pro" w:hAnsi="Source Sans Pro"/>
        </w:rPr>
        <w:t xml:space="preserve"> </w:t>
      </w:r>
      <w:r w:rsidR="00063D53" w:rsidRPr="009942DE">
        <w:rPr>
          <w:rFonts w:ascii="Source Sans Pro" w:hAnsi="Source Sans Pro"/>
        </w:rPr>
        <w:br/>
      </w:r>
    </w:p>
    <w:p w14:paraId="4398DA86" w14:textId="77777777" w:rsidR="004E5C57" w:rsidRPr="009942DE" w:rsidRDefault="004E5C57">
      <w:pPr>
        <w:rPr>
          <w:rFonts w:ascii="Source Sans Pro" w:hAnsi="Source Sans Pro"/>
        </w:rPr>
      </w:pPr>
    </w:p>
    <w:sectPr w:rsidR="004E5C57" w:rsidRPr="009942DE" w:rsidSect="00063D53">
      <w:footerReference w:type="first" r:id="rId4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5918" w14:textId="77777777" w:rsidR="00580C7A" w:rsidRDefault="00580C7A" w:rsidP="00063D53">
      <w:pPr>
        <w:spacing w:after="0" w:line="240" w:lineRule="auto"/>
      </w:pPr>
      <w:r>
        <w:separator/>
      </w:r>
    </w:p>
  </w:endnote>
  <w:endnote w:type="continuationSeparator" w:id="0">
    <w:p w14:paraId="5C9A4C9E" w14:textId="77777777" w:rsidR="00580C7A" w:rsidRDefault="00580C7A" w:rsidP="0006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0AA5" w14:textId="579F923E" w:rsidR="00063D53" w:rsidRPr="00063D53" w:rsidRDefault="00063D53" w:rsidP="00063D53">
    <w:pPr>
      <w:spacing w:after="0" w:line="240" w:lineRule="auto"/>
      <w:rPr>
        <w:rFonts w:ascii="Source Sans Pro" w:eastAsia="Times New Roman" w:hAnsi="Source Sans Pro" w:cs="Times New Roman"/>
        <w:color w:val="002060"/>
        <w:kern w:val="0"/>
        <w:sz w:val="20"/>
        <w:szCs w:val="20"/>
        <w14:ligatures w14:val="none"/>
      </w:rPr>
    </w:pPr>
    <w:r w:rsidRPr="009A2DE5">
      <w:rPr>
        <w:rFonts w:ascii="Source Sans Pro" w:eastAsia="Times New Roman" w:hAnsi="Source Sans Pro" w:cs="Times New Roman"/>
        <w:color w:val="002060"/>
        <w:kern w:val="0"/>
        <w:sz w:val="20"/>
        <w:szCs w:val="20"/>
        <w14:ligatures w14:val="none"/>
      </w:rPr>
      <w:t>This project was supported by a grant awarded by the Maryland Department of Health, Center for Firearm Violence Prevention &amp; Intervention. The opinions, findings, conclusions, and recommendations expressed in this publication are those of the author(s) and do not necessarily reflect the views of the MDH-CFVPI.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33D2" w14:textId="77777777" w:rsidR="00580C7A" w:rsidRDefault="00580C7A" w:rsidP="00063D53">
      <w:pPr>
        <w:spacing w:after="0" w:line="240" w:lineRule="auto"/>
      </w:pPr>
      <w:r>
        <w:separator/>
      </w:r>
    </w:p>
  </w:footnote>
  <w:footnote w:type="continuationSeparator" w:id="0">
    <w:p w14:paraId="4E8B0AC0" w14:textId="77777777" w:rsidR="00580C7A" w:rsidRDefault="00580C7A" w:rsidP="00063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3C10"/>
    <w:multiLevelType w:val="hybridMultilevel"/>
    <w:tmpl w:val="A7585F80"/>
    <w:lvl w:ilvl="0" w:tplc="186AF6CA">
      <w:start w:val="1"/>
      <w:numFmt w:val="decimal"/>
      <w:lvlText w:val="●"/>
      <w:lvlJc w:val="left"/>
      <w:pPr>
        <w:ind w:left="720" w:hanging="360"/>
      </w:pPr>
    </w:lvl>
    <w:lvl w:ilvl="1" w:tplc="5502A87C">
      <w:start w:val="1"/>
      <w:numFmt w:val="lowerLetter"/>
      <w:lvlText w:val="%2."/>
      <w:lvlJc w:val="left"/>
      <w:pPr>
        <w:ind w:left="1440" w:hanging="360"/>
      </w:pPr>
    </w:lvl>
    <w:lvl w:ilvl="2" w:tplc="1E701488">
      <w:start w:val="1"/>
      <w:numFmt w:val="lowerRoman"/>
      <w:lvlText w:val="%3."/>
      <w:lvlJc w:val="right"/>
      <w:pPr>
        <w:ind w:left="2160" w:hanging="180"/>
      </w:pPr>
    </w:lvl>
    <w:lvl w:ilvl="3" w:tplc="01A20F7C">
      <w:start w:val="1"/>
      <w:numFmt w:val="decimal"/>
      <w:lvlText w:val="%4."/>
      <w:lvlJc w:val="left"/>
      <w:pPr>
        <w:ind w:left="2880" w:hanging="360"/>
      </w:pPr>
    </w:lvl>
    <w:lvl w:ilvl="4" w:tplc="720A79EA">
      <w:start w:val="1"/>
      <w:numFmt w:val="lowerLetter"/>
      <w:lvlText w:val="%5."/>
      <w:lvlJc w:val="left"/>
      <w:pPr>
        <w:ind w:left="3600" w:hanging="360"/>
      </w:pPr>
    </w:lvl>
    <w:lvl w:ilvl="5" w:tplc="AAD2D1E4">
      <w:start w:val="1"/>
      <w:numFmt w:val="lowerRoman"/>
      <w:lvlText w:val="%6."/>
      <w:lvlJc w:val="right"/>
      <w:pPr>
        <w:ind w:left="4320" w:hanging="180"/>
      </w:pPr>
    </w:lvl>
    <w:lvl w:ilvl="6" w:tplc="BE4E3280">
      <w:start w:val="1"/>
      <w:numFmt w:val="decimal"/>
      <w:lvlText w:val="%7."/>
      <w:lvlJc w:val="left"/>
      <w:pPr>
        <w:ind w:left="5040" w:hanging="360"/>
      </w:pPr>
    </w:lvl>
    <w:lvl w:ilvl="7" w:tplc="EA464182">
      <w:start w:val="1"/>
      <w:numFmt w:val="lowerLetter"/>
      <w:lvlText w:val="%8."/>
      <w:lvlJc w:val="left"/>
      <w:pPr>
        <w:ind w:left="5760" w:hanging="360"/>
      </w:pPr>
    </w:lvl>
    <w:lvl w:ilvl="8" w:tplc="624461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00CE"/>
    <w:multiLevelType w:val="hybridMultilevel"/>
    <w:tmpl w:val="A6885F3A"/>
    <w:lvl w:ilvl="0" w:tplc="96AE1276">
      <w:start w:val="1"/>
      <w:numFmt w:val="decimal"/>
      <w:lvlText w:val="●"/>
      <w:lvlJc w:val="left"/>
      <w:pPr>
        <w:ind w:left="720" w:hanging="360"/>
      </w:pPr>
    </w:lvl>
    <w:lvl w:ilvl="1" w:tplc="8FBA3AB0">
      <w:start w:val="1"/>
      <w:numFmt w:val="lowerLetter"/>
      <w:lvlText w:val="%2."/>
      <w:lvlJc w:val="left"/>
      <w:pPr>
        <w:ind w:left="1440" w:hanging="360"/>
      </w:pPr>
    </w:lvl>
    <w:lvl w:ilvl="2" w:tplc="D914823E">
      <w:start w:val="1"/>
      <w:numFmt w:val="lowerRoman"/>
      <w:lvlText w:val="%3."/>
      <w:lvlJc w:val="right"/>
      <w:pPr>
        <w:ind w:left="2160" w:hanging="180"/>
      </w:pPr>
    </w:lvl>
    <w:lvl w:ilvl="3" w:tplc="FB569D7E">
      <w:start w:val="1"/>
      <w:numFmt w:val="decimal"/>
      <w:lvlText w:val="%4."/>
      <w:lvlJc w:val="left"/>
      <w:pPr>
        <w:ind w:left="2880" w:hanging="360"/>
      </w:pPr>
    </w:lvl>
    <w:lvl w:ilvl="4" w:tplc="6FC07C26">
      <w:start w:val="1"/>
      <w:numFmt w:val="lowerLetter"/>
      <w:lvlText w:val="%5."/>
      <w:lvlJc w:val="left"/>
      <w:pPr>
        <w:ind w:left="3600" w:hanging="360"/>
      </w:pPr>
    </w:lvl>
    <w:lvl w:ilvl="5" w:tplc="62C4761E">
      <w:start w:val="1"/>
      <w:numFmt w:val="lowerRoman"/>
      <w:lvlText w:val="%6."/>
      <w:lvlJc w:val="right"/>
      <w:pPr>
        <w:ind w:left="4320" w:hanging="180"/>
      </w:pPr>
    </w:lvl>
    <w:lvl w:ilvl="6" w:tplc="FE1C2D60">
      <w:start w:val="1"/>
      <w:numFmt w:val="decimal"/>
      <w:lvlText w:val="%7."/>
      <w:lvlJc w:val="left"/>
      <w:pPr>
        <w:ind w:left="5040" w:hanging="360"/>
      </w:pPr>
    </w:lvl>
    <w:lvl w:ilvl="7" w:tplc="0D6E89EE">
      <w:start w:val="1"/>
      <w:numFmt w:val="lowerLetter"/>
      <w:lvlText w:val="%8."/>
      <w:lvlJc w:val="left"/>
      <w:pPr>
        <w:ind w:left="5760" w:hanging="360"/>
      </w:pPr>
    </w:lvl>
    <w:lvl w:ilvl="8" w:tplc="1A3CEF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CB17"/>
    <w:multiLevelType w:val="hybridMultilevel"/>
    <w:tmpl w:val="84E84F1C"/>
    <w:lvl w:ilvl="0" w:tplc="764EEC18">
      <w:start w:val="1"/>
      <w:numFmt w:val="decimal"/>
      <w:lvlText w:val="●"/>
      <w:lvlJc w:val="left"/>
      <w:pPr>
        <w:ind w:left="720" w:hanging="360"/>
      </w:pPr>
    </w:lvl>
    <w:lvl w:ilvl="1" w:tplc="019AAA00">
      <w:start w:val="1"/>
      <w:numFmt w:val="lowerLetter"/>
      <w:lvlText w:val="%2."/>
      <w:lvlJc w:val="left"/>
      <w:pPr>
        <w:ind w:left="1440" w:hanging="360"/>
      </w:pPr>
    </w:lvl>
    <w:lvl w:ilvl="2" w:tplc="62A006DA">
      <w:start w:val="1"/>
      <w:numFmt w:val="lowerRoman"/>
      <w:lvlText w:val="%3."/>
      <w:lvlJc w:val="right"/>
      <w:pPr>
        <w:ind w:left="2160" w:hanging="180"/>
      </w:pPr>
    </w:lvl>
    <w:lvl w:ilvl="3" w:tplc="59EADC36">
      <w:start w:val="1"/>
      <w:numFmt w:val="decimal"/>
      <w:lvlText w:val="%4."/>
      <w:lvlJc w:val="left"/>
      <w:pPr>
        <w:ind w:left="2880" w:hanging="360"/>
      </w:pPr>
    </w:lvl>
    <w:lvl w:ilvl="4" w:tplc="81CCD14E">
      <w:start w:val="1"/>
      <w:numFmt w:val="lowerLetter"/>
      <w:lvlText w:val="%5."/>
      <w:lvlJc w:val="left"/>
      <w:pPr>
        <w:ind w:left="3600" w:hanging="360"/>
      </w:pPr>
    </w:lvl>
    <w:lvl w:ilvl="5" w:tplc="26F00BEE">
      <w:start w:val="1"/>
      <w:numFmt w:val="lowerRoman"/>
      <w:lvlText w:val="%6."/>
      <w:lvlJc w:val="right"/>
      <w:pPr>
        <w:ind w:left="4320" w:hanging="180"/>
      </w:pPr>
    </w:lvl>
    <w:lvl w:ilvl="6" w:tplc="0036618A">
      <w:start w:val="1"/>
      <w:numFmt w:val="decimal"/>
      <w:lvlText w:val="%7."/>
      <w:lvlJc w:val="left"/>
      <w:pPr>
        <w:ind w:left="5040" w:hanging="360"/>
      </w:pPr>
    </w:lvl>
    <w:lvl w:ilvl="7" w:tplc="4FD65800">
      <w:start w:val="1"/>
      <w:numFmt w:val="lowerLetter"/>
      <w:lvlText w:val="%8."/>
      <w:lvlJc w:val="left"/>
      <w:pPr>
        <w:ind w:left="5760" w:hanging="360"/>
      </w:pPr>
    </w:lvl>
    <w:lvl w:ilvl="8" w:tplc="85465B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51B8C"/>
    <w:multiLevelType w:val="hybridMultilevel"/>
    <w:tmpl w:val="0A140816"/>
    <w:lvl w:ilvl="0" w:tplc="7A5ED32C">
      <w:start w:val="1"/>
      <w:numFmt w:val="decimal"/>
      <w:lvlText w:val="●"/>
      <w:lvlJc w:val="left"/>
      <w:pPr>
        <w:ind w:left="720" w:hanging="360"/>
      </w:pPr>
    </w:lvl>
    <w:lvl w:ilvl="1" w:tplc="EBEA1CD2">
      <w:start w:val="1"/>
      <w:numFmt w:val="lowerLetter"/>
      <w:lvlText w:val="%2."/>
      <w:lvlJc w:val="left"/>
      <w:pPr>
        <w:ind w:left="1440" w:hanging="360"/>
      </w:pPr>
    </w:lvl>
    <w:lvl w:ilvl="2" w:tplc="0E74BD0E">
      <w:start w:val="1"/>
      <w:numFmt w:val="lowerRoman"/>
      <w:lvlText w:val="%3."/>
      <w:lvlJc w:val="right"/>
      <w:pPr>
        <w:ind w:left="2160" w:hanging="180"/>
      </w:pPr>
    </w:lvl>
    <w:lvl w:ilvl="3" w:tplc="44A85302">
      <w:start w:val="1"/>
      <w:numFmt w:val="decimal"/>
      <w:lvlText w:val="%4."/>
      <w:lvlJc w:val="left"/>
      <w:pPr>
        <w:ind w:left="2880" w:hanging="360"/>
      </w:pPr>
    </w:lvl>
    <w:lvl w:ilvl="4" w:tplc="E1589322">
      <w:start w:val="1"/>
      <w:numFmt w:val="lowerLetter"/>
      <w:lvlText w:val="%5."/>
      <w:lvlJc w:val="left"/>
      <w:pPr>
        <w:ind w:left="3600" w:hanging="360"/>
      </w:pPr>
    </w:lvl>
    <w:lvl w:ilvl="5" w:tplc="22544260">
      <w:start w:val="1"/>
      <w:numFmt w:val="lowerRoman"/>
      <w:lvlText w:val="%6."/>
      <w:lvlJc w:val="right"/>
      <w:pPr>
        <w:ind w:left="4320" w:hanging="180"/>
      </w:pPr>
    </w:lvl>
    <w:lvl w:ilvl="6" w:tplc="BAB06BCA">
      <w:start w:val="1"/>
      <w:numFmt w:val="decimal"/>
      <w:lvlText w:val="%7."/>
      <w:lvlJc w:val="left"/>
      <w:pPr>
        <w:ind w:left="5040" w:hanging="360"/>
      </w:pPr>
    </w:lvl>
    <w:lvl w:ilvl="7" w:tplc="88DCEB6A">
      <w:start w:val="1"/>
      <w:numFmt w:val="lowerLetter"/>
      <w:lvlText w:val="%8."/>
      <w:lvlJc w:val="left"/>
      <w:pPr>
        <w:ind w:left="5760" w:hanging="360"/>
      </w:pPr>
    </w:lvl>
    <w:lvl w:ilvl="8" w:tplc="F8C42F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B6B6B"/>
    <w:multiLevelType w:val="hybridMultilevel"/>
    <w:tmpl w:val="3A82E93E"/>
    <w:lvl w:ilvl="0" w:tplc="89CE0846">
      <w:start w:val="1"/>
      <w:numFmt w:val="decimal"/>
      <w:lvlText w:val="●"/>
      <w:lvlJc w:val="left"/>
      <w:pPr>
        <w:ind w:left="720" w:hanging="360"/>
      </w:pPr>
    </w:lvl>
    <w:lvl w:ilvl="1" w:tplc="AF48096C">
      <w:start w:val="1"/>
      <w:numFmt w:val="lowerLetter"/>
      <w:lvlText w:val="%2."/>
      <w:lvlJc w:val="left"/>
      <w:pPr>
        <w:ind w:left="1440" w:hanging="360"/>
      </w:pPr>
    </w:lvl>
    <w:lvl w:ilvl="2" w:tplc="D1BA5308">
      <w:start w:val="1"/>
      <w:numFmt w:val="lowerRoman"/>
      <w:lvlText w:val="%3."/>
      <w:lvlJc w:val="right"/>
      <w:pPr>
        <w:ind w:left="2160" w:hanging="180"/>
      </w:pPr>
    </w:lvl>
    <w:lvl w:ilvl="3" w:tplc="D9C85954">
      <w:start w:val="1"/>
      <w:numFmt w:val="decimal"/>
      <w:lvlText w:val="%4."/>
      <w:lvlJc w:val="left"/>
      <w:pPr>
        <w:ind w:left="2880" w:hanging="360"/>
      </w:pPr>
    </w:lvl>
    <w:lvl w:ilvl="4" w:tplc="4724881C">
      <w:start w:val="1"/>
      <w:numFmt w:val="lowerLetter"/>
      <w:lvlText w:val="%5."/>
      <w:lvlJc w:val="left"/>
      <w:pPr>
        <w:ind w:left="3600" w:hanging="360"/>
      </w:pPr>
    </w:lvl>
    <w:lvl w:ilvl="5" w:tplc="14DCA782">
      <w:start w:val="1"/>
      <w:numFmt w:val="lowerRoman"/>
      <w:lvlText w:val="%6."/>
      <w:lvlJc w:val="right"/>
      <w:pPr>
        <w:ind w:left="4320" w:hanging="180"/>
      </w:pPr>
    </w:lvl>
    <w:lvl w:ilvl="6" w:tplc="DAA8E078">
      <w:start w:val="1"/>
      <w:numFmt w:val="decimal"/>
      <w:lvlText w:val="%7."/>
      <w:lvlJc w:val="left"/>
      <w:pPr>
        <w:ind w:left="5040" w:hanging="360"/>
      </w:pPr>
    </w:lvl>
    <w:lvl w:ilvl="7" w:tplc="E41211F0">
      <w:start w:val="1"/>
      <w:numFmt w:val="lowerLetter"/>
      <w:lvlText w:val="%8."/>
      <w:lvlJc w:val="left"/>
      <w:pPr>
        <w:ind w:left="5760" w:hanging="360"/>
      </w:pPr>
    </w:lvl>
    <w:lvl w:ilvl="8" w:tplc="AAD07A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55A9"/>
    <w:multiLevelType w:val="hybridMultilevel"/>
    <w:tmpl w:val="DD245F9E"/>
    <w:lvl w:ilvl="0" w:tplc="9B00DEE2">
      <w:start w:val="1"/>
      <w:numFmt w:val="decimal"/>
      <w:lvlText w:val="●"/>
      <w:lvlJc w:val="left"/>
      <w:pPr>
        <w:ind w:left="720" w:hanging="360"/>
      </w:pPr>
    </w:lvl>
    <w:lvl w:ilvl="1" w:tplc="12C8D424">
      <w:start w:val="1"/>
      <w:numFmt w:val="lowerLetter"/>
      <w:lvlText w:val="%2."/>
      <w:lvlJc w:val="left"/>
      <w:pPr>
        <w:ind w:left="1440" w:hanging="360"/>
      </w:pPr>
    </w:lvl>
    <w:lvl w:ilvl="2" w:tplc="1EB2F924">
      <w:start w:val="1"/>
      <w:numFmt w:val="lowerRoman"/>
      <w:lvlText w:val="%3."/>
      <w:lvlJc w:val="right"/>
      <w:pPr>
        <w:ind w:left="2160" w:hanging="180"/>
      </w:pPr>
    </w:lvl>
    <w:lvl w:ilvl="3" w:tplc="A614D9E2">
      <w:start w:val="1"/>
      <w:numFmt w:val="decimal"/>
      <w:lvlText w:val="%4."/>
      <w:lvlJc w:val="left"/>
      <w:pPr>
        <w:ind w:left="2880" w:hanging="360"/>
      </w:pPr>
    </w:lvl>
    <w:lvl w:ilvl="4" w:tplc="2BE8BB26">
      <w:start w:val="1"/>
      <w:numFmt w:val="lowerLetter"/>
      <w:lvlText w:val="%5."/>
      <w:lvlJc w:val="left"/>
      <w:pPr>
        <w:ind w:left="3600" w:hanging="360"/>
      </w:pPr>
    </w:lvl>
    <w:lvl w:ilvl="5" w:tplc="1E4499F6">
      <w:start w:val="1"/>
      <w:numFmt w:val="lowerRoman"/>
      <w:lvlText w:val="%6."/>
      <w:lvlJc w:val="right"/>
      <w:pPr>
        <w:ind w:left="4320" w:hanging="180"/>
      </w:pPr>
    </w:lvl>
    <w:lvl w:ilvl="6" w:tplc="F6049BEA">
      <w:start w:val="1"/>
      <w:numFmt w:val="decimal"/>
      <w:lvlText w:val="%7."/>
      <w:lvlJc w:val="left"/>
      <w:pPr>
        <w:ind w:left="5040" w:hanging="360"/>
      </w:pPr>
    </w:lvl>
    <w:lvl w:ilvl="7" w:tplc="E4CAD09E">
      <w:start w:val="1"/>
      <w:numFmt w:val="lowerLetter"/>
      <w:lvlText w:val="%8."/>
      <w:lvlJc w:val="left"/>
      <w:pPr>
        <w:ind w:left="5760" w:hanging="360"/>
      </w:pPr>
    </w:lvl>
    <w:lvl w:ilvl="8" w:tplc="BD12F9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EE142"/>
    <w:multiLevelType w:val="hybridMultilevel"/>
    <w:tmpl w:val="F0E89BD2"/>
    <w:lvl w:ilvl="0" w:tplc="5E704976">
      <w:start w:val="1"/>
      <w:numFmt w:val="decimal"/>
      <w:lvlText w:val="●"/>
      <w:lvlJc w:val="left"/>
      <w:pPr>
        <w:ind w:left="720" w:hanging="360"/>
      </w:pPr>
    </w:lvl>
    <w:lvl w:ilvl="1" w:tplc="8E56DD30">
      <w:start w:val="1"/>
      <w:numFmt w:val="lowerLetter"/>
      <w:lvlText w:val="%2."/>
      <w:lvlJc w:val="left"/>
      <w:pPr>
        <w:ind w:left="1440" w:hanging="360"/>
      </w:pPr>
    </w:lvl>
    <w:lvl w:ilvl="2" w:tplc="3C6A1A5E">
      <w:start w:val="1"/>
      <w:numFmt w:val="lowerRoman"/>
      <w:lvlText w:val="%3."/>
      <w:lvlJc w:val="right"/>
      <w:pPr>
        <w:ind w:left="2160" w:hanging="180"/>
      </w:pPr>
    </w:lvl>
    <w:lvl w:ilvl="3" w:tplc="F2B00EB0">
      <w:start w:val="1"/>
      <w:numFmt w:val="decimal"/>
      <w:lvlText w:val="%4."/>
      <w:lvlJc w:val="left"/>
      <w:pPr>
        <w:ind w:left="2880" w:hanging="360"/>
      </w:pPr>
    </w:lvl>
    <w:lvl w:ilvl="4" w:tplc="B76AEC7E">
      <w:start w:val="1"/>
      <w:numFmt w:val="lowerLetter"/>
      <w:lvlText w:val="%5."/>
      <w:lvlJc w:val="left"/>
      <w:pPr>
        <w:ind w:left="3600" w:hanging="360"/>
      </w:pPr>
    </w:lvl>
    <w:lvl w:ilvl="5" w:tplc="5F0CBBCC">
      <w:start w:val="1"/>
      <w:numFmt w:val="lowerRoman"/>
      <w:lvlText w:val="%6."/>
      <w:lvlJc w:val="right"/>
      <w:pPr>
        <w:ind w:left="4320" w:hanging="180"/>
      </w:pPr>
    </w:lvl>
    <w:lvl w:ilvl="6" w:tplc="2B1297AE">
      <w:start w:val="1"/>
      <w:numFmt w:val="decimal"/>
      <w:lvlText w:val="%7."/>
      <w:lvlJc w:val="left"/>
      <w:pPr>
        <w:ind w:left="5040" w:hanging="360"/>
      </w:pPr>
    </w:lvl>
    <w:lvl w:ilvl="7" w:tplc="66C881BC">
      <w:start w:val="1"/>
      <w:numFmt w:val="lowerLetter"/>
      <w:lvlText w:val="%8."/>
      <w:lvlJc w:val="left"/>
      <w:pPr>
        <w:ind w:left="5760" w:hanging="360"/>
      </w:pPr>
    </w:lvl>
    <w:lvl w:ilvl="8" w:tplc="9900074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77948">
    <w:abstractNumId w:val="0"/>
  </w:num>
  <w:num w:numId="2" w16cid:durableId="1089354085">
    <w:abstractNumId w:val="5"/>
  </w:num>
  <w:num w:numId="3" w16cid:durableId="726146655">
    <w:abstractNumId w:val="4"/>
  </w:num>
  <w:num w:numId="4" w16cid:durableId="105396363">
    <w:abstractNumId w:val="1"/>
  </w:num>
  <w:num w:numId="5" w16cid:durableId="440102308">
    <w:abstractNumId w:val="2"/>
  </w:num>
  <w:num w:numId="6" w16cid:durableId="250354480">
    <w:abstractNumId w:val="6"/>
  </w:num>
  <w:num w:numId="7" w16cid:durableId="54317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3"/>
    <w:rsid w:val="00063D53"/>
    <w:rsid w:val="001233B1"/>
    <w:rsid w:val="00311E88"/>
    <w:rsid w:val="004E5C57"/>
    <w:rsid w:val="005206F7"/>
    <w:rsid w:val="00550C06"/>
    <w:rsid w:val="00580C7A"/>
    <w:rsid w:val="00650C9C"/>
    <w:rsid w:val="008D3A25"/>
    <w:rsid w:val="009869AE"/>
    <w:rsid w:val="009942DE"/>
    <w:rsid w:val="009A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53BAC"/>
  <w15:chartTrackingRefBased/>
  <w15:docId w15:val="{2F696615-142C-1048-9E30-560F4BD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D5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63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063D5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D53"/>
  </w:style>
  <w:style w:type="paragraph" w:styleId="Footer">
    <w:name w:val="footer"/>
    <w:basedOn w:val="Normal"/>
    <w:link w:val="FooterChar"/>
    <w:uiPriority w:val="99"/>
    <w:unhideWhenUsed/>
    <w:rsid w:val="00063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D53"/>
  </w:style>
  <w:style w:type="character" w:styleId="UnresolvedMention">
    <w:name w:val="Unresolved Mention"/>
    <w:basedOn w:val="DefaultParagraphFont"/>
    <w:uiPriority w:val="99"/>
    <w:semiHidden/>
    <w:unhideWhenUsed/>
    <w:rsid w:val="0099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library.wiley.com/doi/10.1111/1745-9133.12639" TargetMode="External"/><Relationship Id="rId18" Type="http://schemas.openxmlformats.org/officeDocument/2006/relationships/hyperlink" Target="https://doi.org/10.1111/1745-9133.12581" TargetMode="External"/><Relationship Id="rId26" Type="http://schemas.openxmlformats.org/officeDocument/2006/relationships/hyperlink" Target="https://doi.org/10.1136/injuryprev-2019-043479" TargetMode="External"/><Relationship Id="rId39" Type="http://schemas.openxmlformats.org/officeDocument/2006/relationships/hyperlink" Target="https://lms.thelearningcommunitytoendviolence.org/resources/firearms-and-domestic-violence-bench-resource-judges" TargetMode="External"/><Relationship Id="rId21" Type="http://schemas.openxmlformats.org/officeDocument/2006/relationships/hyperlink" Target="https://doi.org/10.1007/s10896-019-00119-2" TargetMode="External"/><Relationship Id="rId34" Type="http://schemas.openxmlformats.org/officeDocument/2006/relationships/hyperlink" Target="https://nrcdvf.org/resources/firearms-relinquishment-in-cases-involving-intimate-partner-violence-how-to-structure-effective-protocols-for-your-community/" TargetMode="External"/><Relationship Id="rId42" Type="http://schemas.openxmlformats.org/officeDocument/2006/relationships/hyperlink" Target="https://lms.thelearningcommunitytoendviolence.org/media/514/download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ink.springer.com/article/10.1186/s40621-021-00330-0" TargetMode="External"/><Relationship Id="rId29" Type="http://schemas.openxmlformats.org/officeDocument/2006/relationships/hyperlink" Target="https://journals.sagepub.com/doi/abs/10.1177/15248380187811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12835191/" TargetMode="External"/><Relationship Id="rId24" Type="http://schemas.openxmlformats.org/officeDocument/2006/relationships/hyperlink" Target="https://nleomf.org/wp-content/uploads/2024/01/2023-EOY-Fatality-Report-FINAL.pdf" TargetMode="External"/><Relationship Id="rId32" Type="http://schemas.openxmlformats.org/officeDocument/2006/relationships/hyperlink" Target="https://nrcdvf.org/resources/webinar-probation-parole-strategies-to-disarm-domestic-violence-offenders/" TargetMode="External"/><Relationship Id="rId37" Type="http://schemas.openxmlformats.org/officeDocument/2006/relationships/hyperlink" Target="https://nrcdvf.org/resources/court-practice-in-domestic-violence-protection-order-cases-creating-court-summary-information-forms/" TargetMode="External"/><Relationship Id="rId40" Type="http://schemas.openxmlformats.org/officeDocument/2006/relationships/hyperlink" Target="https://lms.thelearningcommunitytoendviolence.org/media/376/download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10896-020-00241-6" TargetMode="External"/><Relationship Id="rId23" Type="http://schemas.openxmlformats.org/officeDocument/2006/relationships/hyperlink" Target="https://doi.org/10.1177/08862605251363616" TargetMode="External"/><Relationship Id="rId28" Type="http://schemas.openxmlformats.org/officeDocument/2006/relationships/hyperlink" Target="https://journals.sagepub.com/doi/abs/10.1177/1524838016668589" TargetMode="External"/><Relationship Id="rId36" Type="http://schemas.openxmlformats.org/officeDocument/2006/relationships/hyperlink" Target="https://nrcdvf.org/resources/storage-options-and-considerations-for-relinquished-firearms/" TargetMode="External"/><Relationship Id="rId10" Type="http://schemas.openxmlformats.org/officeDocument/2006/relationships/hyperlink" Target="https://pubmed.ncbi.nlm.nih.gov/12835191/" TargetMode="External"/><Relationship Id="rId19" Type="http://schemas.openxmlformats.org/officeDocument/2006/relationships/hyperlink" Target="https://doi.org/10.18043/001c.81269" TargetMode="External"/><Relationship Id="rId31" Type="http://schemas.openxmlformats.org/officeDocument/2006/relationships/hyperlink" Target="https://doi.org.proxy.libraries.rutgers.edu/10.1177/1524838017692384" TargetMode="External"/><Relationship Id="rId44" Type="http://schemas.openxmlformats.org/officeDocument/2006/relationships/hyperlink" Target="https://lms.thelearningcommunitytoendviolence.org/resources/extreme-risk-protection-orders-tool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" TargetMode="External"/><Relationship Id="rId14" Type="http://schemas.openxmlformats.org/officeDocument/2006/relationships/hyperlink" Target="https://publications.aap.org/pediatrics/article-abstract/140/1/e20163486/38006/Childhood-Firearm-Injuries-in-the-United-States" TargetMode="External"/><Relationship Id="rId22" Type="http://schemas.openxmlformats.org/officeDocument/2006/relationships/hyperlink" Target="https://doi.org/10.1177/08862605211001474" TargetMode="External"/><Relationship Id="rId27" Type="http://schemas.openxmlformats.org/officeDocument/2006/relationships/hyperlink" Target="https://jamanetwork.com/journals/jama/article-abstract/397728" TargetMode="External"/><Relationship Id="rId30" Type="http://schemas.openxmlformats.org/officeDocument/2006/relationships/hyperlink" Target="https://doi.org/10.1177/08862605211021988" TargetMode="External"/><Relationship Id="rId35" Type="http://schemas.openxmlformats.org/officeDocument/2006/relationships/hyperlink" Target="https://nrcdvf.org/resources/how-to-structure-effective-firearm-relinquishment-protocols-in-indian-country/" TargetMode="External"/><Relationship Id="rId43" Type="http://schemas.openxmlformats.org/officeDocument/2006/relationships/hyperlink" Target="https://lms.thelearningcommunitytoendviolence.org/media/378/download" TargetMode="External"/><Relationship Id="rId8" Type="http://schemas.openxmlformats.org/officeDocument/2006/relationships/hyperlink" Target="https://doi.org/10.1007/s10896-022-00411-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77/08862605221120891" TargetMode="External"/><Relationship Id="rId17" Type="http://schemas.openxmlformats.org/officeDocument/2006/relationships/hyperlink" Target="https://doiorg.proxy.libraries.rutgers.edu/10.1350/pojo.2013.86.3.613" TargetMode="External"/><Relationship Id="rId25" Type="http://schemas.openxmlformats.org/officeDocument/2006/relationships/hyperlink" Target="https://doi.org/10.1111/1745-9133.12677" TargetMode="External"/><Relationship Id="rId33" Type="http://schemas.openxmlformats.org/officeDocument/2006/relationships/hyperlink" Target="https://nrcdvf.org/resources/a-brief-history-and-framework-of-federal-firearms-laws-addressing-intimate-partner-violence/" TargetMode="External"/><Relationship Id="rId38" Type="http://schemas.openxmlformats.org/officeDocument/2006/relationships/hyperlink" Target="https://bwjp.org/site-resources/building-a-community-coordinated-response-to-the-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oi.org/10.1002/bsl.2589" TargetMode="External"/><Relationship Id="rId41" Type="http://schemas.openxmlformats.org/officeDocument/2006/relationships/hyperlink" Target="https://lms.thelearningcommunitytoendviolence.org/media/31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9326</Characters>
  <Application>Microsoft Office Word</Application>
  <DocSecurity>0</DocSecurity>
  <Lines>163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Belden</dc:creator>
  <cp:keywords/>
  <dc:description/>
  <cp:lastModifiedBy>Megan Belden</cp:lastModifiedBy>
  <cp:revision>2</cp:revision>
  <dcterms:created xsi:type="dcterms:W3CDTF">2026-05-29T14:57:00Z</dcterms:created>
  <dcterms:modified xsi:type="dcterms:W3CDTF">2026-05-29T14:57:00Z</dcterms:modified>
</cp:coreProperties>
</file>